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</w:rPr>
        <w:drawing>
          <wp:inline distB="19050" distT="19050" distL="19050" distR="19050">
            <wp:extent cx="4953300" cy="150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300" cy="150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Confidentiality Agreement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Peer Review and Biomedical Editing Training Initiative Students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I,                                                                                 , agree to participate in the 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Peerspectives course and take part in the reviewing of live scientific manuscripts submitted to the BMJ.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 certify that I will keep confidential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any information about articles that are assigned to me to review in accordance with the requirements for reviewer published by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yellow"/>
          <w:rtl w:val="0"/>
        </w:rPr>
        <w:t xml:space="preserve">the BMJ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 Furthermore,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 will not upload any unpublished manuscripts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in whole or in part, undergoing review at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yellow"/>
          <w:rtl w:val="0"/>
        </w:rPr>
        <w:t xml:space="preserve">BMJ Journals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(or any information about them) into publicly available AI tools where the security of the confidential information cannot be guaranteed. If I use AI technology to improve word processing and language, I will declare this explicitly when submitting my reviews.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 further agree to follow the ethical guidelines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for peer reviewers as proposed by the Committee on Publication Ethics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Place, Date, Signature of Participating Student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sz w:val="23"/>
          <w:szCs w:val="23"/>
          <w:highlight w:val="yellow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yellow"/>
          <w:rtl w:val="0"/>
        </w:rPr>
        <w:t xml:space="preserve">https://www.bmj.com/about-bmj/resources-reviewers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sz w:val="23"/>
          <w:szCs w:val="23"/>
        </w:rPr>
      </w:pPr>
      <w:bookmarkStart w:colFirst="0" w:colLast="0" w:name="_heading=h.ey5y33oqvmz4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2. COPE, https://publicationethics.org/</w:t>
      </w:r>
    </w:p>
    <w:sectPr>
      <w:pgSz w:h="15840" w:w="12240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QpCOFJ3bLmlZyTYaG6ycLAfKQ==">CgMxLjAyDmguZXk1eTMzb3F2bXo0OAByITFHeFNWcUJ0TmJWMmdjMldSeTZzeGI3QlJfQTJLSmRHMw==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2024-08-06T09:20:00Z</dcterms:created>
  <dc:creator>Dickson-Burke, Claire Bytheway</dc:creator>
</cp:coreProperties>
</file>